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2C" w:rsidRPr="00267E8C" w:rsidRDefault="00951B2C" w:rsidP="00951B2C">
      <w:pPr>
        <w:autoSpaceDE w:val="0"/>
        <w:autoSpaceDN w:val="0"/>
        <w:adjustRightInd w:val="0"/>
        <w:spacing w:after="0" w:line="240" w:lineRule="auto"/>
        <w:rPr>
          <w:rFonts w:ascii="Albertus-Bold" w:hAnsi="Albertus-Bold" w:cs="Albertus-Bold"/>
          <w:b/>
          <w:bCs/>
          <w:color w:val="000000"/>
          <w:sz w:val="32"/>
          <w:szCs w:val="26"/>
        </w:rPr>
      </w:pPr>
      <w:r w:rsidRPr="00267E8C">
        <w:rPr>
          <w:rFonts w:ascii="Albertus-Bold" w:hAnsi="Albertus-Bold" w:cs="Albertus-Bold"/>
          <w:b/>
          <w:bCs/>
          <w:color w:val="000000"/>
          <w:sz w:val="32"/>
          <w:szCs w:val="26"/>
        </w:rPr>
        <w:t>Figure 5K: Summary Chart of Speaking Performance Expectations</w:t>
      </w:r>
      <w:r w:rsidR="000B24ED" w:rsidRPr="00267E8C">
        <w:rPr>
          <w:rFonts w:ascii="Albertus-Bold" w:hAnsi="Albertus-Bold" w:cs="Albertus-Bold"/>
          <w:b/>
          <w:bCs/>
          <w:color w:val="000000"/>
          <w:sz w:val="32"/>
          <w:szCs w:val="26"/>
        </w:rPr>
        <w:t xml:space="preserve"> </w:t>
      </w:r>
    </w:p>
    <w:p w:rsidR="00951B2C" w:rsidRDefault="00951B2C" w:rsidP="00951B2C">
      <w:pPr>
        <w:autoSpaceDE w:val="0"/>
        <w:autoSpaceDN w:val="0"/>
        <w:adjustRightInd w:val="0"/>
        <w:spacing w:after="0" w:line="240" w:lineRule="auto"/>
        <w:rPr>
          <w:rFonts w:ascii="Albertus-Bold" w:hAnsi="Albertus-Bold" w:cs="Albertus-Bold"/>
          <w:b/>
          <w:bCs/>
          <w:color w:val="FFFFFF"/>
          <w:sz w:val="28"/>
          <w:szCs w:val="28"/>
        </w:rPr>
      </w:pPr>
      <w:r>
        <w:rPr>
          <w:rFonts w:ascii="Albertus-Bold" w:hAnsi="Albertus-Bold" w:cs="Albertus-Bold"/>
          <w:b/>
          <w:bCs/>
          <w:color w:val="FFFFFF"/>
          <w:sz w:val="28"/>
          <w:szCs w:val="28"/>
        </w:rPr>
        <w:t>Speaking Rubric of the WIDA™ Consortium*</w:t>
      </w: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2340"/>
        <w:gridCol w:w="2610"/>
        <w:gridCol w:w="4601"/>
      </w:tblGrid>
      <w:tr w:rsidR="00951B2C" w:rsidTr="00E51B58">
        <w:tc>
          <w:tcPr>
            <w:tcW w:w="11016" w:type="dxa"/>
            <w:gridSpan w:val="4"/>
          </w:tcPr>
          <w:p w:rsidR="00760E64" w:rsidRDefault="00951B2C" w:rsidP="00951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  <w:sz w:val="44"/>
              </w:rPr>
            </w:pPr>
            <w:r w:rsidRPr="00951B2C">
              <w:rPr>
                <w:rFonts w:ascii="Albertus-Bold" w:hAnsi="Albertus-Bold" w:cs="Albertus-Bold"/>
                <w:b/>
                <w:bCs/>
                <w:color w:val="000000"/>
                <w:sz w:val="44"/>
              </w:rPr>
              <w:t>Speaking Rubric of the WIDA Consortium</w:t>
            </w:r>
          </w:p>
          <w:p w:rsidR="00951B2C" w:rsidRDefault="00062E18" w:rsidP="00951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  <w:sz w:val="44"/>
              </w:rPr>
              <w:t>-Student Review</w:t>
            </w:r>
            <w:r w:rsidR="00760E64">
              <w:rPr>
                <w:rFonts w:ascii="Albertus-Bold" w:hAnsi="Albertus-Bold" w:cs="Albertus-Bold"/>
                <w:b/>
                <w:bCs/>
                <w:color w:val="000000"/>
                <w:sz w:val="44"/>
              </w:rPr>
              <w:t>-</w:t>
            </w:r>
          </w:p>
        </w:tc>
      </w:tr>
      <w:tr w:rsidR="00951B2C" w:rsidTr="00E51B58"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951B2C" w:rsidRDefault="00951B2C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Task Level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51B2C" w:rsidRDefault="00E51B58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Linguistic Complexity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51B2C" w:rsidRDefault="00E51B58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 xml:space="preserve">Vocabulary </w:t>
            </w:r>
            <w:r w:rsidR="00951B2C">
              <w:rPr>
                <w:rFonts w:ascii="Albertus-Bold" w:hAnsi="Albertus-Bold" w:cs="Albertus-Bold"/>
                <w:b/>
                <w:bCs/>
                <w:color w:val="000000"/>
              </w:rPr>
              <w:t>Usage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:rsidR="00951B2C" w:rsidRDefault="00E51B58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Language Control</w:t>
            </w:r>
          </w:p>
        </w:tc>
      </w:tr>
      <w:tr w:rsidR="00951B2C" w:rsidTr="00E51B58">
        <w:tc>
          <w:tcPr>
            <w:tcW w:w="1465" w:type="dxa"/>
            <w:shd w:val="clear" w:color="auto" w:fill="CC6600"/>
            <w:vAlign w:val="center"/>
          </w:tcPr>
          <w:p w:rsidR="00951B2C" w:rsidRDefault="00E51B58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1</w:t>
            </w:r>
            <w:r>
              <w:rPr>
                <w:rFonts w:ascii="Albertus-Bold" w:hAnsi="Albertus-Bold" w:cs="Albertus-Bold"/>
                <w:b/>
                <w:bCs/>
                <w:color w:val="000000"/>
              </w:rPr>
              <w:br/>
              <w:t>Entering</w:t>
            </w:r>
          </w:p>
        </w:tc>
        <w:tc>
          <w:tcPr>
            <w:tcW w:w="2340" w:type="dxa"/>
          </w:tcPr>
          <w:p w:rsidR="00951B2C" w:rsidRPr="00E51B58" w:rsidRDefault="00951B2C" w:rsidP="000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Single words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, set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phrases or chunks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062E1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of memorized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language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951B2C" w:rsidRPr="00E51B58" w:rsidRDefault="00062E18" w:rsidP="000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Basic </w:t>
            </w:r>
            <w:r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common</w:t>
            </w:r>
            <w:r w:rsidR="00E51B58"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="00951B2C"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vocabulary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content areas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601" w:type="dxa"/>
          </w:tcPr>
          <w:p w:rsidR="00951B2C" w:rsidRPr="00E51B58" w:rsidRDefault="00951B2C" w:rsidP="000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When using memorized language, is generally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comprehensible; communication </w:t>
            </w:r>
            <w:r w:rsidR="00062E18">
              <w:rPr>
                <w:rFonts w:ascii="Times New Roman" w:hAnsi="Times New Roman"/>
                <w:color w:val="000000"/>
                <w:sz w:val="24"/>
                <w:szCs w:val="20"/>
              </w:rPr>
              <w:t>is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062E18"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greatly difficult when using unfamiliar</w:t>
            </w:r>
            <w:r w:rsidR="00062E1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words</w:t>
            </w:r>
          </w:p>
        </w:tc>
      </w:tr>
      <w:tr w:rsidR="00951B2C" w:rsidTr="00E51B58">
        <w:tc>
          <w:tcPr>
            <w:tcW w:w="1465" w:type="dxa"/>
            <w:shd w:val="clear" w:color="auto" w:fill="FF3300"/>
            <w:vAlign w:val="center"/>
          </w:tcPr>
          <w:p w:rsidR="00951B2C" w:rsidRDefault="00951B2C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2</w:t>
            </w:r>
          </w:p>
          <w:p w:rsidR="00951B2C" w:rsidRDefault="00E51B58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Emerging</w:t>
            </w:r>
          </w:p>
        </w:tc>
        <w:tc>
          <w:tcPr>
            <w:tcW w:w="2340" w:type="dxa"/>
          </w:tcPr>
          <w:p w:rsidR="00951B2C" w:rsidRPr="00E51B58" w:rsidRDefault="00951B2C" w:rsidP="0095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Phrases, </w:t>
            </w:r>
            <w:r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short oral</w:t>
            </w:r>
            <w:r w:rsidR="00E51B58"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sentences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951B2C" w:rsidRPr="00E51B58" w:rsidRDefault="00951B2C" w:rsidP="000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General language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related to the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content area;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062E18"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searching</w:t>
            </w:r>
            <w:r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for</w:t>
            </w:r>
            <w:r w:rsidR="00E51B58"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vocabulary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when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going beyond the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062E1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familiar </w:t>
            </w:r>
          </w:p>
        </w:tc>
        <w:tc>
          <w:tcPr>
            <w:tcW w:w="4601" w:type="dxa"/>
          </w:tcPr>
          <w:p w:rsidR="00951B2C" w:rsidRPr="00E51B58" w:rsidRDefault="00062E18" w:rsidP="000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When using </w:t>
            </w:r>
            <w:r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simple language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, is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understandable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; communication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may be </w:t>
            </w:r>
            <w:r w:rsidRPr="00062E18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difficult to understand due to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phonics or basic errors 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when going beyond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short, simple sentences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</w:tr>
      <w:tr w:rsidR="00951B2C" w:rsidTr="00E51B58">
        <w:tc>
          <w:tcPr>
            <w:tcW w:w="1465" w:type="dxa"/>
            <w:shd w:val="clear" w:color="auto" w:fill="99CC00"/>
            <w:vAlign w:val="center"/>
          </w:tcPr>
          <w:p w:rsidR="00951B2C" w:rsidRDefault="00951B2C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3</w:t>
            </w:r>
          </w:p>
          <w:p w:rsidR="00951B2C" w:rsidRDefault="00E51B58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Developing</w:t>
            </w:r>
          </w:p>
        </w:tc>
        <w:tc>
          <w:tcPr>
            <w:tcW w:w="2340" w:type="dxa"/>
          </w:tcPr>
          <w:p w:rsidR="00951B2C" w:rsidRPr="00E51B58" w:rsidRDefault="00951B2C" w:rsidP="000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Simple and expanded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oral sentences;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responses show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add</w:t>
            </w:r>
            <w:r w:rsidR="00062E1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s </w:t>
            </w:r>
            <w:r w:rsidR="00062E18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some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detail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951B2C" w:rsidRPr="00E51B58" w:rsidRDefault="00062E18" w:rsidP="0095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</w:t>
            </w:r>
            <w:r w:rsidR="00951B2C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ome</w:t>
            </w:r>
            <w:r w:rsidR="00E51B58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="00951B2C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specific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language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related to the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content area; </w:t>
            </w:r>
            <w:r w:rsidR="00951B2C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may</w:t>
            </w:r>
            <w:r w:rsidR="00E51B58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="00951B2C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grope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(search for)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for needed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vocabulary at times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601" w:type="dxa"/>
          </w:tcPr>
          <w:p w:rsidR="00951B2C" w:rsidRPr="00E51B58" w:rsidRDefault="00951B2C" w:rsidP="0006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When communicating in sentences, is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generally comprehensible and fluent;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communication </w:t>
            </w:r>
            <w:r w:rsidR="00062E18">
              <w:rPr>
                <w:rFonts w:ascii="Times New Roman" w:hAnsi="Times New Roman"/>
                <w:color w:val="000000"/>
                <w:sz w:val="24"/>
                <w:szCs w:val="20"/>
              </w:rPr>
              <w:t>at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time</w:t>
            </w:r>
            <w:r w:rsidR="00062E18">
              <w:rPr>
                <w:rFonts w:ascii="Times New Roman" w:hAnsi="Times New Roman"/>
                <w:color w:val="000000"/>
                <w:sz w:val="24"/>
                <w:szCs w:val="20"/>
              </w:rPr>
              <w:t>s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be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062E1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difficult to understand due to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groping for language structures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especially when attempting more complex oral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062E18">
              <w:rPr>
                <w:rFonts w:ascii="Times New Roman" w:hAnsi="Times New Roman"/>
                <w:color w:val="000000"/>
                <w:sz w:val="24"/>
                <w:szCs w:val="20"/>
              </w:rPr>
              <w:t>communication</w:t>
            </w:r>
          </w:p>
        </w:tc>
      </w:tr>
      <w:tr w:rsidR="00951B2C" w:rsidTr="00E51B58">
        <w:tc>
          <w:tcPr>
            <w:tcW w:w="1465" w:type="dxa"/>
            <w:shd w:val="clear" w:color="auto" w:fill="00CC99"/>
            <w:vAlign w:val="center"/>
          </w:tcPr>
          <w:p w:rsidR="00951B2C" w:rsidRDefault="00951B2C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4</w:t>
            </w:r>
          </w:p>
          <w:p w:rsidR="00951B2C" w:rsidRDefault="00E51B58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Expanding</w:t>
            </w:r>
          </w:p>
        </w:tc>
        <w:tc>
          <w:tcPr>
            <w:tcW w:w="2340" w:type="dxa"/>
          </w:tcPr>
          <w:p w:rsidR="00951B2C" w:rsidRPr="00E51B58" w:rsidRDefault="00951B2C" w:rsidP="00F5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A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variety sentence lengths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of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varying complexity; cohesion</w:t>
            </w:r>
            <w:r w:rsidR="00F50AD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(fitting together)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used to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F50ADD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provide detail</w:t>
            </w:r>
            <w:r w:rsidR="00F50ADD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and </w:t>
            </w:r>
            <w:r w:rsidR="00F50ADD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explain</w:t>
            </w:r>
          </w:p>
        </w:tc>
        <w:tc>
          <w:tcPr>
            <w:tcW w:w="2610" w:type="dxa"/>
          </w:tcPr>
          <w:p w:rsidR="00951B2C" w:rsidRPr="00E51B58" w:rsidRDefault="00951B2C" w:rsidP="00F5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Specific language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related to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the content area;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groping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for needed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vocabulary may be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occasional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F50ADD">
              <w:rPr>
                <w:rFonts w:ascii="Times New Roman" w:hAnsi="Times New Roman"/>
                <w:color w:val="000000"/>
                <w:sz w:val="24"/>
                <w:szCs w:val="20"/>
              </w:rPr>
              <w:t>(every now and then) seen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601" w:type="dxa"/>
          </w:tcPr>
          <w:p w:rsidR="00951B2C" w:rsidRPr="00E51B58" w:rsidRDefault="00951B2C" w:rsidP="00F5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At all times </w:t>
            </w:r>
            <w:r w:rsid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is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comprehensible and</w:t>
            </w:r>
            <w:r w:rsidR="00E51B58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fluent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, </w:t>
            </w:r>
            <w:r w:rsidR="00F50ADD">
              <w:rPr>
                <w:rFonts w:ascii="Times New Roman" w:hAnsi="Times New Roman"/>
                <w:color w:val="000000"/>
                <w:sz w:val="24"/>
                <w:szCs w:val="20"/>
              </w:rPr>
              <w:t>phonics and grammar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errors that don’t impede the overall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meaning of the communication may appear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F50ADD">
              <w:rPr>
                <w:rFonts w:ascii="Times New Roman" w:hAnsi="Times New Roman"/>
                <w:color w:val="000000"/>
                <w:sz w:val="24"/>
                <w:szCs w:val="20"/>
              </w:rPr>
              <w:t>at times</w:t>
            </w:r>
          </w:p>
        </w:tc>
      </w:tr>
      <w:tr w:rsidR="00951B2C" w:rsidTr="00DE2396">
        <w:tc>
          <w:tcPr>
            <w:tcW w:w="1465" w:type="dxa"/>
            <w:shd w:val="clear" w:color="auto" w:fill="00B050"/>
            <w:vAlign w:val="center"/>
          </w:tcPr>
          <w:p w:rsidR="00951B2C" w:rsidRDefault="00951B2C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5</w:t>
            </w:r>
          </w:p>
          <w:p w:rsidR="00951B2C" w:rsidRDefault="00E51B58" w:rsidP="00E51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Bridging</w:t>
            </w:r>
          </w:p>
        </w:tc>
        <w:tc>
          <w:tcPr>
            <w:tcW w:w="2340" w:type="dxa"/>
          </w:tcPr>
          <w:p w:rsidR="00951B2C" w:rsidRPr="00E51B58" w:rsidRDefault="00951B2C" w:rsidP="00F5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A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variety of sentence</w:t>
            </w:r>
            <w:r w:rsidR="00E51B58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lengths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of varying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complexity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in extended </w:t>
            </w:r>
            <w:r w:rsidR="00F50ADD">
              <w:rPr>
                <w:rFonts w:ascii="Times New Roman" w:hAnsi="Times New Roman"/>
                <w:color w:val="000000"/>
                <w:sz w:val="24"/>
                <w:szCs w:val="20"/>
              </w:rPr>
              <w:t>taking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; responses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show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cohesion and</w:t>
            </w:r>
            <w:r w:rsidR="00E51B58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organization used to</w:t>
            </w:r>
            <w:r w:rsidR="00E51B58"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Pr="00F50ADD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support main ideas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951B2C" w:rsidRPr="00E51B58" w:rsidRDefault="00F50ADD" w:rsidP="00F50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Specific</w:t>
            </w:r>
            <w:r w:rsidR="00951B2C"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language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related to the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951B2C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>content area;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="00951B2C"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vocabulary </w:t>
            </w:r>
            <w:r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comes easily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and presents new words when asked that relate to content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4601" w:type="dxa"/>
          </w:tcPr>
          <w:p w:rsidR="00951B2C" w:rsidRPr="00E51B58" w:rsidRDefault="00951B2C" w:rsidP="0076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A</w:t>
            </w:r>
            <w:r w:rsidR="00760E64"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t all times is easy to understand and fluent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comparability to that of English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proficient peers; </w:t>
            </w:r>
            <w:r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errors don’t impede</w:t>
            </w:r>
            <w:r w:rsidR="00760E64"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(block)</w:t>
            </w:r>
            <w:r w:rsidR="00E51B58"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communication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and may be </w:t>
            </w:r>
            <w:r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typical of those</w:t>
            </w:r>
            <w:r w:rsidR="00E51B58"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 xml:space="preserve"> </w:t>
            </w:r>
            <w:r w:rsidRPr="00760E64">
              <w:rPr>
                <w:rFonts w:ascii="Times New Roman" w:hAnsi="Times New Roman"/>
                <w:color w:val="000000"/>
                <w:sz w:val="24"/>
                <w:szCs w:val="20"/>
                <w:highlight w:val="yellow"/>
              </w:rPr>
              <w:t>an English proficient peer</w:t>
            </w:r>
            <w:r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might make</w:t>
            </w:r>
            <w:r w:rsidR="00E51B58" w:rsidRPr="00E51B5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</w:tr>
    </w:tbl>
    <w:p w:rsidR="00951B2C" w:rsidRDefault="00951B2C" w:rsidP="00951B2C">
      <w:pPr>
        <w:autoSpaceDE w:val="0"/>
        <w:autoSpaceDN w:val="0"/>
        <w:adjustRightInd w:val="0"/>
        <w:spacing w:after="0" w:line="240" w:lineRule="auto"/>
        <w:rPr>
          <w:rFonts w:ascii="Albertus-Bold" w:hAnsi="Albertus-Bold" w:cs="Albertus-Bold"/>
          <w:b/>
          <w:bCs/>
          <w:color w:val="000000"/>
        </w:rPr>
      </w:pPr>
    </w:p>
    <w:p w:rsidR="00760E64" w:rsidRPr="00267E8C" w:rsidRDefault="00951B2C" w:rsidP="00951B2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 w:rsidRPr="00267E8C">
        <w:rPr>
          <w:rFonts w:ascii="TimesNewRomanPSMT" w:hAnsi="TimesNewRomanPSMT" w:cs="TimesNewRomanPSMT"/>
          <w:color w:val="000000"/>
          <w:sz w:val="20"/>
          <w:szCs w:val="20"/>
        </w:rPr>
        <w:t xml:space="preserve">Adapted from </w:t>
      </w:r>
      <w:r w:rsidRPr="00267E8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ACCESS for ELLs</w:t>
      </w:r>
      <w:r w:rsidRPr="00267E8C">
        <w:rPr>
          <w:rFonts w:ascii="AGaramondPro-Regular" w:hAnsi="AGaramondPro-Regular" w:cs="AGaramondPro-Regular"/>
          <w:color w:val="000000"/>
          <w:sz w:val="20"/>
          <w:szCs w:val="20"/>
        </w:rPr>
        <w:t xml:space="preserve">® </w:t>
      </w:r>
      <w:r w:rsidRPr="00267E8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Training Toolkit </w:t>
      </w:r>
      <w:r w:rsidRPr="00267E8C">
        <w:rPr>
          <w:rFonts w:ascii="TimesNewRomanPSMT" w:hAnsi="TimesNewRomanPSMT" w:cs="TimesNewRomanPSMT"/>
          <w:color w:val="000000"/>
          <w:sz w:val="20"/>
          <w:szCs w:val="20"/>
        </w:rPr>
        <w:t xml:space="preserve">and </w:t>
      </w:r>
      <w:r w:rsidRPr="00267E8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Test Administration Manuals, Series 103 (2007-08)</w:t>
      </w:r>
    </w:p>
    <w:p w:rsidR="00E51B58" w:rsidRDefault="00E51B58" w:rsidP="00951B2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951B2C" w:rsidRDefault="00951B2C" w:rsidP="00951B2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*English proficiency level 6 is not included in the Speaking Rubric as it is reserved for students whose oral English</w:t>
      </w:r>
    </w:p>
    <w:p w:rsidR="000B24ED" w:rsidRDefault="00951B2C" w:rsidP="00951B2C">
      <w:pPr>
        <w:rPr>
          <w:rFonts w:ascii="TimesNewRomanPSMT" w:hAnsi="TimesNewRomanPSMT" w:cs="TimesNewRomanPSMT"/>
          <w:color w:val="000000"/>
          <w:sz w:val="20"/>
          <w:szCs w:val="20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szCs w:val="20"/>
        </w:rPr>
        <w:t>is</w:t>
      </w:r>
      <w:proofErr w:type="gram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comparable to that of their English-proficient peers.</w:t>
      </w:r>
    </w:p>
    <w:p w:rsidR="000B24ED" w:rsidRDefault="000B24ED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br w:type="page"/>
      </w:r>
    </w:p>
    <w:p w:rsidR="00267E8C" w:rsidRPr="00267E8C" w:rsidRDefault="00267E8C" w:rsidP="00267E8C">
      <w:pPr>
        <w:autoSpaceDE w:val="0"/>
        <w:autoSpaceDN w:val="0"/>
        <w:adjustRightInd w:val="0"/>
        <w:spacing w:after="0" w:line="240" w:lineRule="auto"/>
        <w:rPr>
          <w:rFonts w:ascii="Albertus-Bold" w:hAnsi="Albertus-Bold" w:cs="Albertus-Bold"/>
          <w:b/>
          <w:bCs/>
          <w:color w:val="000000"/>
          <w:sz w:val="32"/>
          <w:szCs w:val="26"/>
        </w:rPr>
      </w:pPr>
      <w:r w:rsidRPr="00267E8C">
        <w:rPr>
          <w:rFonts w:ascii="Albertus-Bold" w:hAnsi="Albertus-Bold" w:cs="Albertus-Bold"/>
          <w:b/>
          <w:bCs/>
          <w:color w:val="000000"/>
          <w:sz w:val="32"/>
          <w:szCs w:val="26"/>
        </w:rPr>
        <w:lastRenderedPageBreak/>
        <w:t>Figure 5L: Summary Chart of Writing Performance Expectations</w:t>
      </w:r>
    </w:p>
    <w:p w:rsidR="00267E8C" w:rsidRDefault="00267E8C">
      <w:pPr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420"/>
        <w:gridCol w:w="2700"/>
        <w:gridCol w:w="3431"/>
      </w:tblGrid>
      <w:tr w:rsidR="000B24ED" w:rsidTr="00AC2AF1">
        <w:tc>
          <w:tcPr>
            <w:tcW w:w="11016" w:type="dxa"/>
            <w:gridSpan w:val="4"/>
          </w:tcPr>
          <w:p w:rsidR="000B24ED" w:rsidRDefault="00267E8C" w:rsidP="0026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  <w:sz w:val="40"/>
              </w:rPr>
            </w:pPr>
            <w:r w:rsidRPr="00267E8C">
              <w:rPr>
                <w:rFonts w:ascii="Albertus-Bold" w:hAnsi="Albertus-Bold" w:cs="Albertus-Bold"/>
                <w:b/>
                <w:bCs/>
                <w:color w:val="000000"/>
                <w:sz w:val="40"/>
              </w:rPr>
              <w:t>Writing</w:t>
            </w:r>
            <w:r w:rsidR="000B24ED" w:rsidRPr="00267E8C">
              <w:rPr>
                <w:rFonts w:ascii="Albertus-Bold" w:hAnsi="Albertus-Bold" w:cs="Albertus-Bold"/>
                <w:b/>
                <w:bCs/>
                <w:color w:val="000000"/>
                <w:sz w:val="40"/>
              </w:rPr>
              <w:t xml:space="preserve"> Rubric of the WIDA Consortium</w:t>
            </w:r>
            <w:r w:rsidRPr="00267E8C">
              <w:rPr>
                <w:rFonts w:ascii="Albertus-Bold" w:hAnsi="Albertus-Bold" w:cs="Albertus-Bold"/>
                <w:b/>
                <w:bCs/>
                <w:color w:val="000000"/>
                <w:sz w:val="40"/>
              </w:rPr>
              <w:t xml:space="preserve"> (Grades 1-12)</w:t>
            </w:r>
          </w:p>
          <w:p w:rsidR="00760E64" w:rsidRDefault="00760E64" w:rsidP="0026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  <w:sz w:val="40"/>
              </w:rPr>
              <w:t>-Student Review-</w:t>
            </w:r>
            <w:bookmarkStart w:id="0" w:name="_GoBack"/>
            <w:bookmarkEnd w:id="0"/>
          </w:p>
        </w:tc>
      </w:tr>
      <w:tr w:rsidR="000B24ED" w:rsidTr="00267E8C"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Task Level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Linguistic Complexity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Vocabulary Usage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Language Control</w:t>
            </w:r>
          </w:p>
        </w:tc>
      </w:tr>
      <w:tr w:rsidR="00267E8C" w:rsidTr="00267E8C">
        <w:tc>
          <w:tcPr>
            <w:tcW w:w="1465" w:type="dxa"/>
            <w:shd w:val="clear" w:color="auto" w:fill="CC6600"/>
            <w:vAlign w:val="center"/>
          </w:tcPr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1</w:t>
            </w:r>
            <w:r>
              <w:rPr>
                <w:rFonts w:ascii="Albertus-Bold" w:hAnsi="Albertus-Bold" w:cs="Albertus-Bold"/>
                <w:b/>
                <w:bCs/>
                <w:color w:val="000000"/>
              </w:rPr>
              <w:br/>
              <w:t>Entering</w:t>
            </w:r>
          </w:p>
        </w:tc>
        <w:tc>
          <w:tcPr>
            <w:tcW w:w="3420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Single words, set phrases or chunks of simple language; varying amounts of text may be copied or adapted; adapted text contains original language. </w:t>
            </w:r>
          </w:p>
        </w:tc>
        <w:tc>
          <w:tcPr>
            <w:tcW w:w="2700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Usage of highest frequency vocabulary from school setting and content areas. </w:t>
            </w:r>
          </w:p>
        </w:tc>
        <w:tc>
          <w:tcPr>
            <w:tcW w:w="3431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Generally comprehensible when text is copied or adapted from model or source text; comprehensibility may be significantly impeded in original text. </w:t>
            </w:r>
          </w:p>
        </w:tc>
      </w:tr>
      <w:tr w:rsidR="00267E8C" w:rsidTr="00267E8C">
        <w:tc>
          <w:tcPr>
            <w:tcW w:w="1465" w:type="dxa"/>
            <w:shd w:val="clear" w:color="auto" w:fill="FF3300"/>
            <w:vAlign w:val="center"/>
          </w:tcPr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2</w:t>
            </w:r>
          </w:p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Emerging</w:t>
            </w:r>
          </w:p>
        </w:tc>
        <w:tc>
          <w:tcPr>
            <w:tcW w:w="3420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Phrases and short sentences; varying amount of text may be copied or adapted; some attempt at organization may be evidenced. </w:t>
            </w:r>
          </w:p>
        </w:tc>
        <w:tc>
          <w:tcPr>
            <w:tcW w:w="2700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Usage of general language related to the content area; lack of vocabulary may be evident. </w:t>
            </w:r>
          </w:p>
        </w:tc>
        <w:tc>
          <w:tcPr>
            <w:tcW w:w="3431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Generally comprehensible when text is adapted from model or source text, or when original text is limited to simple text; comprehensibility may be often impeded by errors. </w:t>
            </w:r>
          </w:p>
        </w:tc>
      </w:tr>
      <w:tr w:rsidR="00267E8C" w:rsidTr="00267E8C">
        <w:tc>
          <w:tcPr>
            <w:tcW w:w="1465" w:type="dxa"/>
            <w:shd w:val="clear" w:color="auto" w:fill="99CC00"/>
            <w:vAlign w:val="center"/>
          </w:tcPr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3</w:t>
            </w:r>
          </w:p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Developing</w:t>
            </w:r>
          </w:p>
        </w:tc>
        <w:tc>
          <w:tcPr>
            <w:tcW w:w="3420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Simple and expanded sentences that show emerging complexity used to provide detail. </w:t>
            </w:r>
          </w:p>
        </w:tc>
        <w:tc>
          <w:tcPr>
            <w:tcW w:w="2700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Usage of general and some specific language related to the content area; lack of needed vocabulary may be evident. </w:t>
            </w:r>
          </w:p>
        </w:tc>
        <w:tc>
          <w:tcPr>
            <w:tcW w:w="3431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Generally comprehensible when writing in sentences; comprehensibility may from time to time be impeded by errors when attempting to produce more complex text. </w:t>
            </w:r>
          </w:p>
        </w:tc>
      </w:tr>
      <w:tr w:rsidR="00267E8C" w:rsidTr="00267E8C">
        <w:tc>
          <w:tcPr>
            <w:tcW w:w="1465" w:type="dxa"/>
            <w:shd w:val="clear" w:color="auto" w:fill="00CC99"/>
            <w:vAlign w:val="center"/>
          </w:tcPr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4</w:t>
            </w:r>
          </w:p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Expanding</w:t>
            </w:r>
          </w:p>
        </w:tc>
        <w:tc>
          <w:tcPr>
            <w:tcW w:w="3420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A variety of sentence lengths of varying linguistic complexity; emerging cohesion used to provide detail and clarity. </w:t>
            </w:r>
          </w:p>
        </w:tc>
        <w:tc>
          <w:tcPr>
            <w:tcW w:w="2700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Usage of specific and some technical language related to the content area; lack of needed vocabulary may be occasionally evident. </w:t>
            </w:r>
          </w:p>
        </w:tc>
        <w:tc>
          <w:tcPr>
            <w:tcW w:w="3431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Generally comprehensible at all times, errors don’t impede the overall meaning; such errors may reflect first language interference. </w:t>
            </w:r>
          </w:p>
        </w:tc>
      </w:tr>
      <w:tr w:rsidR="00267E8C" w:rsidTr="00267E8C">
        <w:tc>
          <w:tcPr>
            <w:tcW w:w="1465" w:type="dxa"/>
            <w:shd w:val="clear" w:color="auto" w:fill="00B050"/>
            <w:vAlign w:val="center"/>
          </w:tcPr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5</w:t>
            </w:r>
          </w:p>
          <w:p w:rsidR="000B24ED" w:rsidRDefault="000B24ED" w:rsidP="00AC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Bridging</w:t>
            </w:r>
          </w:p>
        </w:tc>
        <w:tc>
          <w:tcPr>
            <w:tcW w:w="3420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>A variety of sentence</w:t>
            </w:r>
            <w:r w:rsidRPr="00267E8C">
              <w:rPr>
                <w:rFonts w:ascii="Albertus-Bold" w:hAnsi="Albertus-Bold" w:cs="Albertus-Bold"/>
                <w:b/>
                <w:bCs/>
                <w:color w:val="FFFFFF"/>
                <w:sz w:val="24"/>
                <w:szCs w:val="28"/>
              </w:rPr>
              <w:t xml:space="preserve"> </w:t>
            </w: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lengths of varying linguistic complexity in a single organized paragraph or in extended text; cohesion and organization </w:t>
            </w:r>
          </w:p>
        </w:tc>
        <w:tc>
          <w:tcPr>
            <w:tcW w:w="2700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Usage of technical language related to the content area; evident facility with needed vocabulary. </w:t>
            </w:r>
          </w:p>
        </w:tc>
        <w:tc>
          <w:tcPr>
            <w:tcW w:w="3431" w:type="dxa"/>
          </w:tcPr>
          <w:p w:rsidR="000B24ED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Approaching comparability to that of English proficient peers; errors don’t impede comprehensibility. </w:t>
            </w:r>
          </w:p>
        </w:tc>
      </w:tr>
      <w:tr w:rsidR="00267E8C" w:rsidTr="00267E8C">
        <w:tc>
          <w:tcPr>
            <w:tcW w:w="1465" w:type="dxa"/>
            <w:shd w:val="clear" w:color="auto" w:fill="0000FF"/>
            <w:vAlign w:val="center"/>
          </w:tcPr>
          <w:p w:rsidR="00267E8C" w:rsidRDefault="00267E8C" w:rsidP="00267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bertus-Bold" w:hAnsi="Albertus-Bold" w:cs="Albertus-Bold"/>
                <w:b/>
                <w:bCs/>
                <w:color w:val="000000"/>
              </w:rPr>
            </w:pPr>
            <w:r>
              <w:rPr>
                <w:rFonts w:ascii="Albertus-Bold" w:hAnsi="Albertus-Bold" w:cs="Albertus-Bold"/>
                <w:b/>
                <w:bCs/>
                <w:color w:val="000000"/>
              </w:rPr>
              <w:t>6</w:t>
            </w:r>
            <w:r>
              <w:rPr>
                <w:rFonts w:ascii="Albertus-Bold" w:hAnsi="Albertus-Bold" w:cs="Albertus-Bold"/>
                <w:b/>
                <w:bCs/>
                <w:color w:val="000000"/>
              </w:rPr>
              <w:br/>
              <w:t>Reaching*</w:t>
            </w:r>
          </w:p>
        </w:tc>
        <w:tc>
          <w:tcPr>
            <w:tcW w:w="3420" w:type="dxa"/>
          </w:tcPr>
          <w:p w:rsidR="00267E8C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A variety of sentence lengths of varying linguistic complexity in a single tightly organized paragraph or in well-organized extended text; tight cohesion and organization </w:t>
            </w:r>
          </w:p>
        </w:tc>
        <w:tc>
          <w:tcPr>
            <w:tcW w:w="2700" w:type="dxa"/>
          </w:tcPr>
          <w:p w:rsidR="00267E8C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Consistent use of just the right word in just the right place; precise Vocabulary Usage in general, specific or technical language. </w:t>
            </w:r>
          </w:p>
        </w:tc>
        <w:tc>
          <w:tcPr>
            <w:tcW w:w="3431" w:type="dxa"/>
          </w:tcPr>
          <w:p w:rsidR="00267E8C" w:rsidRPr="00267E8C" w:rsidRDefault="00267E8C" w:rsidP="00AC2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67E8C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Has reached comparability to that of English proficient peers functioning at the “proficient” level in state-wide assessments. </w:t>
            </w:r>
          </w:p>
        </w:tc>
      </w:tr>
    </w:tbl>
    <w:p w:rsidR="000B24ED" w:rsidRPr="00267E8C" w:rsidRDefault="000B24ED" w:rsidP="00267E8C">
      <w:pPr>
        <w:autoSpaceDE w:val="0"/>
        <w:autoSpaceDN w:val="0"/>
        <w:adjustRightInd w:val="0"/>
        <w:spacing w:before="120" w:after="0" w:line="240" w:lineRule="auto"/>
        <w:rPr>
          <w:rFonts w:ascii="Albertus-Bold" w:hAnsi="Albertus-Bold" w:cs="Albertus-Bold"/>
          <w:b/>
          <w:bCs/>
          <w:color w:val="FFFFFF"/>
          <w:sz w:val="28"/>
          <w:szCs w:val="28"/>
        </w:rPr>
      </w:pPr>
      <w:r w:rsidRPr="00267E8C">
        <w:rPr>
          <w:rFonts w:ascii="TimesNewRomanPSMT" w:hAnsi="TimesNewRomanPSMT" w:cs="TimesNewRomanPSMT"/>
          <w:color w:val="000000"/>
          <w:sz w:val="20"/>
          <w:szCs w:val="20"/>
        </w:rPr>
        <w:t xml:space="preserve">Adapted from </w:t>
      </w:r>
      <w:r w:rsidRPr="00267E8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ACCESS for ELLs</w:t>
      </w:r>
      <w:r w:rsidRPr="00267E8C">
        <w:rPr>
          <w:rFonts w:ascii="AGaramondPro-Regular" w:hAnsi="AGaramondPro-Regular" w:cs="AGaramondPro-Regular"/>
          <w:color w:val="000000"/>
          <w:sz w:val="20"/>
          <w:szCs w:val="20"/>
        </w:rPr>
        <w:t xml:space="preserve">® </w:t>
      </w:r>
      <w:r w:rsidRPr="00267E8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Training Toolkit </w:t>
      </w:r>
      <w:r w:rsidRPr="00267E8C">
        <w:rPr>
          <w:rFonts w:ascii="TimesNewRomanPSMT" w:hAnsi="TimesNewRomanPSMT" w:cs="TimesNewRomanPSMT"/>
          <w:color w:val="000000"/>
          <w:sz w:val="20"/>
          <w:szCs w:val="20"/>
        </w:rPr>
        <w:t xml:space="preserve">and </w:t>
      </w:r>
      <w:r w:rsidRPr="00267E8C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Test Administration Manuals, Series 103 (2007-08)</w:t>
      </w:r>
    </w:p>
    <w:p w:rsidR="00267E8C" w:rsidRPr="00267E8C" w:rsidRDefault="00267E8C" w:rsidP="000B24ED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0B24ED" w:rsidRDefault="000B24ED" w:rsidP="000B24ED">
      <w:r>
        <w:rPr>
          <w:rFonts w:ascii="TimesNewRomanPSMT" w:hAnsi="TimesNewRomanPSMT" w:cs="TimesNewRomanPSMT"/>
          <w:color w:val="000000"/>
          <w:sz w:val="20"/>
          <w:szCs w:val="20"/>
        </w:rPr>
        <w:t>*Level 6 is reserved for students whose written English is comparable to that of their English-proficient peers.</w:t>
      </w:r>
    </w:p>
    <w:sectPr w:rsidR="000B24ED" w:rsidSect="007835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2C"/>
    <w:rsid w:val="00045320"/>
    <w:rsid w:val="00062E18"/>
    <w:rsid w:val="0006650C"/>
    <w:rsid w:val="00085DED"/>
    <w:rsid w:val="000B24ED"/>
    <w:rsid w:val="000C5C02"/>
    <w:rsid w:val="000F1899"/>
    <w:rsid w:val="00170AE4"/>
    <w:rsid w:val="001E6BFD"/>
    <w:rsid w:val="00262A90"/>
    <w:rsid w:val="00267E8C"/>
    <w:rsid w:val="00277D52"/>
    <w:rsid w:val="002B33C6"/>
    <w:rsid w:val="002E2485"/>
    <w:rsid w:val="002E55DD"/>
    <w:rsid w:val="00324B57"/>
    <w:rsid w:val="00341D18"/>
    <w:rsid w:val="00384DAB"/>
    <w:rsid w:val="00386BF4"/>
    <w:rsid w:val="003C1FC5"/>
    <w:rsid w:val="003C5B71"/>
    <w:rsid w:val="003C6B33"/>
    <w:rsid w:val="003E4B8A"/>
    <w:rsid w:val="004B2948"/>
    <w:rsid w:val="005242EE"/>
    <w:rsid w:val="0057034D"/>
    <w:rsid w:val="005A53B5"/>
    <w:rsid w:val="005B6820"/>
    <w:rsid w:val="005C17C7"/>
    <w:rsid w:val="005C75B1"/>
    <w:rsid w:val="005F6CD9"/>
    <w:rsid w:val="006076B4"/>
    <w:rsid w:val="00610D89"/>
    <w:rsid w:val="0064463D"/>
    <w:rsid w:val="006B4A54"/>
    <w:rsid w:val="006C3D55"/>
    <w:rsid w:val="006F2EA6"/>
    <w:rsid w:val="00701B0B"/>
    <w:rsid w:val="00760E64"/>
    <w:rsid w:val="00772384"/>
    <w:rsid w:val="00783505"/>
    <w:rsid w:val="007E76C6"/>
    <w:rsid w:val="008137B3"/>
    <w:rsid w:val="00856CAB"/>
    <w:rsid w:val="008924FF"/>
    <w:rsid w:val="008942B5"/>
    <w:rsid w:val="00915964"/>
    <w:rsid w:val="00951B2C"/>
    <w:rsid w:val="00965C46"/>
    <w:rsid w:val="00973BEA"/>
    <w:rsid w:val="009C1130"/>
    <w:rsid w:val="009C4209"/>
    <w:rsid w:val="00A67BB3"/>
    <w:rsid w:val="00AB0FE6"/>
    <w:rsid w:val="00AB6D14"/>
    <w:rsid w:val="00AD3247"/>
    <w:rsid w:val="00AE5778"/>
    <w:rsid w:val="00B01E46"/>
    <w:rsid w:val="00B17DE6"/>
    <w:rsid w:val="00BB4C71"/>
    <w:rsid w:val="00BE7178"/>
    <w:rsid w:val="00BF5467"/>
    <w:rsid w:val="00C13D78"/>
    <w:rsid w:val="00C567D7"/>
    <w:rsid w:val="00C96DC8"/>
    <w:rsid w:val="00CD0F0F"/>
    <w:rsid w:val="00CD2B5C"/>
    <w:rsid w:val="00CE452D"/>
    <w:rsid w:val="00CF40A6"/>
    <w:rsid w:val="00CF60E1"/>
    <w:rsid w:val="00D14985"/>
    <w:rsid w:val="00D558FB"/>
    <w:rsid w:val="00D72794"/>
    <w:rsid w:val="00D76128"/>
    <w:rsid w:val="00DC0724"/>
    <w:rsid w:val="00DC1B6C"/>
    <w:rsid w:val="00DC2AE5"/>
    <w:rsid w:val="00DE2396"/>
    <w:rsid w:val="00DF49DA"/>
    <w:rsid w:val="00E13FDD"/>
    <w:rsid w:val="00E51B58"/>
    <w:rsid w:val="00EA1A10"/>
    <w:rsid w:val="00ED6D38"/>
    <w:rsid w:val="00EF7FFD"/>
    <w:rsid w:val="00F50ADD"/>
    <w:rsid w:val="00F76C2A"/>
    <w:rsid w:val="00F964FD"/>
    <w:rsid w:val="00FC36AA"/>
    <w:rsid w:val="00FE0449"/>
    <w:rsid w:val="00FE3518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Emily</cp:lastModifiedBy>
  <cp:revision>2</cp:revision>
  <dcterms:created xsi:type="dcterms:W3CDTF">2013-11-15T11:00:00Z</dcterms:created>
  <dcterms:modified xsi:type="dcterms:W3CDTF">2013-11-15T11:00:00Z</dcterms:modified>
</cp:coreProperties>
</file>